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between w:color="000000" w:space="1" w:sz="4" w:val="singl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TEMATICKÝ, časový PLÁN         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vyučovací předmět:</w:t>
        <w:tab/>
        <w:t xml:space="preserve">VÝTVARNÁ VÝCHOVA</w:t>
        <w:tab/>
        <w:tab/>
        <w:tab/>
        <w:tab/>
        <w:tab/>
        <w:t xml:space="preserve">ROČNÍK: OSMÝ</w:t>
      </w:r>
    </w:p>
    <w:p w:rsidR="00000000" w:rsidDel="00000000" w:rsidP="00000000" w:rsidRDefault="00000000" w:rsidRPr="00000000" w14:paraId="00000002">
      <w:pPr>
        <w:pBdr>
          <w:top w:color="000000" w:space="1" w:sz="4" w:val="single"/>
          <w:bottom w:color="000000" w:space="1" w:sz="4" w:val="single"/>
          <w:between w:color="000000" w:space="1" w:sz="4" w:val="singl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00"/>
        <w:gridCol w:w="2720"/>
        <w:gridCol w:w="1480"/>
        <w:gridCol w:w="1240"/>
        <w:gridCol w:w="1120"/>
        <w:tblGridChange w:id="0">
          <w:tblGrid>
            <w:gridCol w:w="3900"/>
            <w:gridCol w:w="2720"/>
            <w:gridCol w:w="1480"/>
            <w:gridCol w:w="1240"/>
            <w:gridCol w:w="112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(konkretizovaný výstup)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(konkretizované učivo)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zařazená průřezová témata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zaměření na rozvíjení klíčových kompetencí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metody, formy práce</w:t>
            </w:r>
          </w:p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pomůcky</w:t>
            </w:r>
          </w:p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exkurze, akce</w:t>
            </w:r>
          </w:p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časová dotace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Září - listopad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vybírá, vytváří a pojmenovává co nejširší škálu prvků vizuálně obrazných vyjádření a jejich vztahů;  uplatňuje je pro vyjádření vlastních zkušeností, vjemů, představ a poznatků; variuje různé vlastnosti prvků a jejich vztahů pro získání osobitých výsledků</w:t>
            </w:r>
          </w:p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užívá vizuálně obrazná vyjádření k zaznamenání vizuálních zkušeností, zkušeností získaných ostatními smysly a k zaznamenání podnětů z představ a fantazie</w:t>
            </w:r>
          </w:p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užívá prostředky pro zachycení jevů a procesů v proměnách a vztazích; k tvorbě užívá některé metody uplatňované v současném výtvarném umění a digitálních médiích – počítačová grafika, fotografie, video, animace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prosinec – únor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vybírá, kombinuje a vytváří prostředky pro vlastní osobité vyjádření; porovnává a hodnotí jeho účinky již existujících i běžně užívaných vizuálně obrazných vyjádření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interpretuje umělecká vizuálně obrazná vyjádření současnosti i minulosti; vychází při tom ze svých znalostí historických souvislostí i z osobních zkušeností a prožitků</w:t>
            </w:r>
          </w:p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porovnává na konkrétních příkladech různé interpretace vizuálně obrazného vyjádření; vysvětluje své postoje k nim s vědomím osobní, společenské a kulturní podmíněnosti svých hodnotových soudů</w:t>
            </w:r>
          </w:p>
          <w:p w:rsidR="00000000" w:rsidDel="00000000" w:rsidP="00000000" w:rsidRDefault="00000000" w:rsidRPr="00000000" w14:paraId="0000001C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Výtvarné  vyjádření skutečnosti</w:t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Výtvarné vyjádření dějového celku z os. nebo z spol. života s možností využití klasických nebo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netradičních technik. Sebepoznávací náměty – např. co mě povznáší, hlava plná pocitů.</w:t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Vyjádření vztahu dvou i více postav s užitím základních kompozičních znalostí na základě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předchozích náčrtů a skic, s důrazem na vystižení zkratky a zjednodušení, s využitím emocionálního účinku barvy.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Vyjádření tvarových, světelných a prostorových jevů prostorových útvarů.</w:t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Grafické vyjádření zajímavého technického předmětu na základě studijních skic - analýza tvaru</w:t>
            </w:r>
          </w:p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 stavby s možností fantazijního využití. Design předmětů.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Výtvarné vyjádření přírodního útvaru, jeho struktury, zajímavého detailu s možností lineární tvarové nebo barevné parafráze.</w:t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Osobnostní a sociální výchova – rozvoj schopností poznávání 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Osobnostní a sociální výchova –</w:t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kreativita</w:t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komunikace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kompetence k učení – vedeme žáky k systematizaci poznatků a využívá je při vlastní tvorbě</w:t>
            </w:r>
          </w:p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kompetence k řešení problémů – tvořivě přistupuje k řešení výtvarných problémů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Malby temperou, vodovými barvami, kresby tužkou, pastelkami, tuší, kombinované a grafické techniky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8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UPLATŇOVÁNÍ SUBJEKTIVITY</w:t>
            </w:r>
          </w:p>
          <w:p w:rsidR="00000000" w:rsidDel="00000000" w:rsidP="00000000" w:rsidRDefault="00000000" w:rsidRPr="00000000" w14:paraId="00000039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březen - květen</w:t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vybírá, kombinuje a vytváří prostředky pro vlastní osobité vyjádření; porovnává a hodnotí jeho účinky již existujících i běžně užívaných vizuálně obrazných vyjádření</w:t>
            </w:r>
          </w:p>
          <w:p w:rsidR="00000000" w:rsidDel="00000000" w:rsidP="00000000" w:rsidRDefault="00000000" w:rsidRPr="00000000" w14:paraId="0000003B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rozliší působení vizuálně obrazného vyjádření v rovině smyslového účinku, v rovině subjektivního účinku a v rovině sociálně utvářeného i symbolického obsahu</w:t>
            </w:r>
          </w:p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interpretuje umělecká vizuálně obrazná vyjádření současnosti i minulosti; vychází při tom ze svých znalostí historických souvislostí i z osobních zkušeností a prožitků</w:t>
            </w:r>
          </w:p>
          <w:p w:rsidR="00000000" w:rsidDel="00000000" w:rsidP="00000000" w:rsidRDefault="00000000" w:rsidRPr="00000000" w14:paraId="00000040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Užité práce dekorativní a prostorové</w:t>
            </w:r>
          </w:p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Plošné dekorativní kompozice - uplatnění výtvarného zjednodušení a stylizace, op art</w:t>
            </w:r>
          </w:p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Ověřování zákonitostí užité grafiky, vizuální komunikace písma ve výtvarných studiích, uplatnění zákonitostí v jednoduchých výtvarných návrzích ve spojení kompozice motivu a písma</w:t>
            </w:r>
          </w:p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(značky automobilů, firemní znaky atp).</w:t>
            </w:r>
          </w:p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Experimentování s písmem .</w:t>
            </w:r>
          </w:p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Uvědomělá kompozice tvaru a barvy objektu ve vztahu k materiálu a techniky při vzniku uži-</w:t>
            </w:r>
          </w:p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tého předmětu (šperk, keramický kachel atp).</w:t>
            </w:r>
          </w:p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Osobnostní a sociální výchova – rozvoj schopností poznávání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kompetence komunikativní – učíme žáky prezentovat a přiměřeně obhajovat své názory</w:t>
            </w:r>
          </w:p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Calibri" w:cs="Calibri" w:eastAsia="Calibri" w:hAnsi="Calibri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16"/>
                <w:szCs w:val="16"/>
                <w:rtl w:val="0"/>
              </w:rPr>
              <w:t xml:space="preserve">Digitální kompetnce - DG-3-3-01</w:t>
            </w:r>
          </w:p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Calibri" w:cs="Calibri" w:eastAsia="Calibri" w:hAnsi="Calibri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16"/>
                <w:szCs w:val="16"/>
                <w:rtl w:val="0"/>
              </w:rPr>
              <w:t xml:space="preserve">Na základě vlastních kritérií</w:t>
            </w:r>
          </w:p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Calibri" w:cs="Calibri" w:eastAsia="Calibri" w:hAnsi="Calibri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16"/>
                <w:szCs w:val="16"/>
                <w:rtl w:val="0"/>
              </w:rPr>
              <w:t xml:space="preserve">pro vyhledávání získává</w:t>
            </w:r>
          </w:p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Calibri" w:cs="Calibri" w:eastAsia="Calibri" w:hAnsi="Calibri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16"/>
                <w:szCs w:val="16"/>
                <w:rtl w:val="0"/>
              </w:rPr>
              <w:t xml:space="preserve">potřebné informace</w:t>
            </w:r>
          </w:p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Calibri" w:cs="Calibri" w:eastAsia="Calibri" w:hAnsi="Calibri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16"/>
                <w:szCs w:val="16"/>
                <w:rtl w:val="0"/>
              </w:rPr>
              <w:t xml:space="preserve">z doporučených zdrojů.</w:t>
            </w:r>
          </w:p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Calibri" w:cs="Calibri" w:eastAsia="Calibri" w:hAnsi="Calibri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9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OVĚŘOVÁNÍ KOMUNIKAČNÍCH ÚČINKŮ</w:t>
            </w:r>
          </w:p>
          <w:p w:rsidR="00000000" w:rsidDel="00000000" w:rsidP="00000000" w:rsidRDefault="00000000" w:rsidRPr="00000000" w14:paraId="0000005B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interpretuje umělecká vizuálně obrazná vyjádření současnosti i minulosti; vychází při tom ze svých znalostí historických souvislostí i z osobních zkušeností a prožitků</w:t>
            </w:r>
          </w:p>
          <w:p w:rsidR="00000000" w:rsidDel="00000000" w:rsidP="00000000" w:rsidRDefault="00000000" w:rsidRPr="00000000" w14:paraId="0000005D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ověřuje komunikační účinky vybraných, upravených či samostatně vytvořených vizuálně obrazných vyjádření v sociálních vztazích; nalézá vhodnou formu pro jejich prezentaci</w:t>
            </w:r>
          </w:p>
          <w:p w:rsidR="00000000" w:rsidDel="00000000" w:rsidP="00000000" w:rsidRDefault="00000000" w:rsidRPr="00000000" w14:paraId="0000005F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červen</w:t>
            </w:r>
          </w:p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porovnává na konkrétních příkladech různé interpretace vizuálně obrazného vyjádření; vysvětluje své postoje k nim s vědomím osobní, společenské a kulturní podmíněnosti svých hodnotových soudů</w:t>
            </w:r>
          </w:p>
          <w:p w:rsidR="00000000" w:rsidDel="00000000" w:rsidP="00000000" w:rsidRDefault="00000000" w:rsidRPr="00000000" w14:paraId="00000061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Výtvarné umění a životní prostředí</w:t>
            </w:r>
          </w:p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Umění a jeho proměny v souvislosti s historickým vývojem společnosti  ( umění renesance, baro-</w:t>
            </w:r>
          </w:p>
          <w:p w:rsidR="00000000" w:rsidDel="00000000" w:rsidP="00000000" w:rsidRDefault="00000000" w:rsidRPr="00000000" w14:paraId="0000006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ka, rokoka, umění 19. století ).</w:t>
            </w:r>
          </w:p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Rozvíjení a prohlubování vztahu k výtvarnému umění, jeho nezastupitelnost v lidském životě.</w:t>
            </w:r>
          </w:p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Vliv estetiky obytného prostředí, význam tvarů a barev v bytě, odívání, vkus.</w:t>
            </w:r>
          </w:p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Návštěvy výstav a muzeí, architektura Žatce.</w:t>
            </w:r>
          </w:p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Mediální výchova – kritické čtení a vnímání mediálních sdělení, schopnost vnímat, interpretovat a kriticky hodnotit artefakty umělecké i běžné  mediální  produkce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kompetence k učení – učíme žáky samostatně objevovat </w:t>
            </w:r>
          </w:p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kompetence občanské – vedeme žáky k přiměřené odpovědnosti za budoucnost naší planety a k aktivní účasti na ochraně přírody věcmi a ději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